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A42" w:rsidRDefault="00A36A42" w:rsidP="00492126">
      <w:pPr>
        <w:spacing w:after="0" w:line="240" w:lineRule="auto"/>
        <w:jc w:val="center"/>
        <w:rPr>
          <w:rFonts w:ascii="Arial" w:hAnsi="Arial" w:cs="Arial"/>
          <w:b/>
          <w:sz w:val="28"/>
          <w:szCs w:val="28"/>
          <w:lang w:val="en-US" w:eastAsia="fr-FR"/>
        </w:rPr>
      </w:pPr>
      <w:r w:rsidRPr="00492126">
        <w:rPr>
          <w:rFonts w:ascii="Arial" w:hAnsi="Arial" w:cs="Arial"/>
          <w:b/>
          <w:sz w:val="28"/>
          <w:szCs w:val="28"/>
          <w:lang w:val="en-US" w:eastAsia="fr-FR"/>
        </w:rPr>
        <w:t xml:space="preserve">Risk factors for out-of-hospital cardiac arrest </w:t>
      </w:r>
    </w:p>
    <w:p w:rsidR="00A36A42" w:rsidRDefault="00A36A42" w:rsidP="00492126">
      <w:pPr>
        <w:spacing w:after="0" w:line="240" w:lineRule="auto"/>
        <w:jc w:val="center"/>
        <w:rPr>
          <w:rFonts w:ascii="Arial" w:hAnsi="Arial" w:cs="Arial"/>
          <w:b/>
          <w:sz w:val="28"/>
          <w:szCs w:val="28"/>
          <w:lang w:val="en-US" w:eastAsia="fr-FR"/>
        </w:rPr>
      </w:pPr>
      <w:r w:rsidRPr="00492126">
        <w:rPr>
          <w:rFonts w:ascii="Arial" w:hAnsi="Arial" w:cs="Arial"/>
          <w:b/>
          <w:sz w:val="28"/>
          <w:szCs w:val="28"/>
          <w:lang w:val="en-US" w:eastAsia="fr-FR"/>
        </w:rPr>
        <w:t>in the acute phase STEMI. The e-MUST registry</w:t>
      </w:r>
    </w:p>
    <w:p w:rsidR="00A36A42" w:rsidRPr="00492126" w:rsidRDefault="00A36A42" w:rsidP="00492126">
      <w:pPr>
        <w:spacing w:after="0" w:line="240" w:lineRule="auto"/>
        <w:jc w:val="center"/>
        <w:rPr>
          <w:rFonts w:ascii="Arial" w:hAnsi="Arial" w:cs="Arial"/>
          <w:b/>
          <w:sz w:val="28"/>
          <w:szCs w:val="28"/>
          <w:lang w:val="en-US"/>
        </w:rPr>
      </w:pPr>
    </w:p>
    <w:p w:rsidR="00A36A42" w:rsidRDefault="00A36A42" w:rsidP="00492126">
      <w:pPr>
        <w:spacing w:after="0" w:line="240" w:lineRule="auto"/>
        <w:rPr>
          <w:rFonts w:ascii="Arial" w:hAnsi="Arial" w:cs="Arial"/>
          <w:sz w:val="18"/>
          <w:szCs w:val="18"/>
          <w:lang w:val="en-US" w:eastAsia="fr-FR"/>
        </w:rPr>
      </w:pPr>
      <w:r w:rsidRPr="00492126">
        <w:rPr>
          <w:rFonts w:ascii="Arial" w:hAnsi="Arial" w:cs="Arial"/>
          <w:sz w:val="18"/>
          <w:szCs w:val="18"/>
          <w:lang w:val="es-ES" w:eastAsia="fr-FR"/>
        </w:rPr>
        <w:t>O. Giovannetti</w:t>
      </w:r>
      <w:r w:rsidRPr="00492126">
        <w:rPr>
          <w:rFonts w:ascii="Arial" w:hAnsi="Arial" w:cs="Arial"/>
          <w:sz w:val="18"/>
          <w:szCs w:val="18"/>
          <w:vertAlign w:val="superscript"/>
          <w:lang w:val="es-ES" w:eastAsia="fr-FR"/>
        </w:rPr>
        <w:t>1</w:t>
      </w:r>
      <w:r w:rsidRPr="00492126">
        <w:rPr>
          <w:rFonts w:ascii="Arial" w:hAnsi="Arial" w:cs="Arial"/>
          <w:sz w:val="18"/>
          <w:szCs w:val="18"/>
          <w:lang w:val="es-ES" w:eastAsia="fr-FR"/>
        </w:rPr>
        <w:t>, S. Escolano</w:t>
      </w:r>
      <w:r w:rsidRPr="00492126">
        <w:rPr>
          <w:rFonts w:ascii="Arial" w:hAnsi="Arial" w:cs="Arial"/>
          <w:sz w:val="18"/>
          <w:szCs w:val="18"/>
          <w:vertAlign w:val="superscript"/>
          <w:lang w:val="es-ES" w:eastAsia="fr-FR"/>
        </w:rPr>
        <w:t>2</w:t>
      </w:r>
      <w:r w:rsidRPr="00492126">
        <w:rPr>
          <w:rFonts w:ascii="Arial" w:hAnsi="Arial" w:cs="Arial"/>
          <w:sz w:val="18"/>
          <w:szCs w:val="18"/>
          <w:lang w:val="es-ES" w:eastAsia="fr-FR"/>
        </w:rPr>
        <w:t xml:space="preserve">, JP. </w:t>
      </w:r>
      <w:r w:rsidRPr="00492126">
        <w:rPr>
          <w:rFonts w:ascii="Arial" w:hAnsi="Arial" w:cs="Arial"/>
          <w:sz w:val="18"/>
          <w:szCs w:val="18"/>
          <w:lang w:val="en-US" w:eastAsia="fr-FR"/>
        </w:rPr>
        <w:t>Empana</w:t>
      </w:r>
      <w:r w:rsidRPr="00492126">
        <w:rPr>
          <w:rFonts w:ascii="Arial" w:hAnsi="Arial" w:cs="Arial"/>
          <w:sz w:val="18"/>
          <w:szCs w:val="18"/>
          <w:vertAlign w:val="superscript"/>
          <w:lang w:val="en-US" w:eastAsia="fr-FR"/>
        </w:rPr>
        <w:t>2</w:t>
      </w:r>
      <w:r w:rsidRPr="00492126">
        <w:rPr>
          <w:rFonts w:ascii="Arial" w:hAnsi="Arial" w:cs="Arial"/>
          <w:sz w:val="18"/>
          <w:szCs w:val="18"/>
          <w:lang w:val="en-US" w:eastAsia="fr-FR"/>
        </w:rPr>
        <w:t>, S. Bataille</w:t>
      </w:r>
      <w:r w:rsidRPr="00492126">
        <w:rPr>
          <w:rFonts w:ascii="Arial" w:hAnsi="Arial" w:cs="Arial"/>
          <w:sz w:val="18"/>
          <w:szCs w:val="18"/>
          <w:vertAlign w:val="superscript"/>
          <w:lang w:val="en-US" w:eastAsia="fr-FR"/>
        </w:rPr>
        <w:t>3</w:t>
      </w:r>
      <w:r w:rsidRPr="00492126">
        <w:rPr>
          <w:rFonts w:ascii="Arial" w:hAnsi="Arial" w:cs="Arial"/>
          <w:sz w:val="18"/>
          <w:szCs w:val="18"/>
          <w:lang w:val="en-US" w:eastAsia="fr-FR"/>
        </w:rPr>
        <w:t>, C. Caussin</w:t>
      </w:r>
      <w:r w:rsidRPr="00492126">
        <w:rPr>
          <w:rFonts w:ascii="Arial" w:hAnsi="Arial" w:cs="Arial"/>
          <w:sz w:val="18"/>
          <w:szCs w:val="18"/>
          <w:vertAlign w:val="superscript"/>
          <w:lang w:val="en-US" w:eastAsia="fr-FR"/>
        </w:rPr>
        <w:t>4</w:t>
      </w:r>
      <w:r w:rsidRPr="00492126">
        <w:rPr>
          <w:rFonts w:ascii="Arial" w:hAnsi="Arial" w:cs="Arial"/>
          <w:sz w:val="18"/>
          <w:szCs w:val="18"/>
          <w:lang w:val="en-US" w:eastAsia="fr-FR"/>
        </w:rPr>
        <w:t>, H. Benamer</w:t>
      </w:r>
      <w:r w:rsidRPr="00492126">
        <w:rPr>
          <w:rFonts w:ascii="Arial" w:hAnsi="Arial" w:cs="Arial"/>
          <w:sz w:val="18"/>
          <w:szCs w:val="18"/>
          <w:vertAlign w:val="superscript"/>
          <w:lang w:val="en-US" w:eastAsia="fr-FR"/>
        </w:rPr>
        <w:t>5</w:t>
      </w:r>
      <w:r w:rsidRPr="00492126">
        <w:rPr>
          <w:rFonts w:ascii="Arial" w:hAnsi="Arial" w:cs="Arial"/>
          <w:sz w:val="18"/>
          <w:szCs w:val="18"/>
          <w:lang w:val="en-US" w:eastAsia="fr-FR"/>
        </w:rPr>
        <w:t>, MC. Perier</w:t>
      </w:r>
      <w:r w:rsidRPr="00492126">
        <w:rPr>
          <w:rFonts w:ascii="Arial" w:hAnsi="Arial" w:cs="Arial"/>
          <w:sz w:val="18"/>
          <w:szCs w:val="18"/>
          <w:vertAlign w:val="superscript"/>
          <w:lang w:val="en-US" w:eastAsia="fr-FR"/>
        </w:rPr>
        <w:t>2</w:t>
      </w:r>
      <w:r w:rsidRPr="00492126">
        <w:rPr>
          <w:rFonts w:ascii="Arial" w:hAnsi="Arial" w:cs="Arial"/>
          <w:sz w:val="18"/>
          <w:szCs w:val="18"/>
          <w:lang w:val="en-US" w:eastAsia="fr-FR"/>
        </w:rPr>
        <w:t>, A. Cariou</w:t>
      </w:r>
      <w:r w:rsidRPr="00492126">
        <w:rPr>
          <w:rFonts w:ascii="Arial" w:hAnsi="Arial" w:cs="Arial"/>
          <w:sz w:val="18"/>
          <w:szCs w:val="18"/>
          <w:vertAlign w:val="superscript"/>
          <w:lang w:val="en-US" w:eastAsia="fr-FR"/>
        </w:rPr>
        <w:t>6</w:t>
      </w:r>
      <w:r w:rsidRPr="00492126">
        <w:rPr>
          <w:rFonts w:ascii="Arial" w:hAnsi="Arial" w:cs="Arial"/>
          <w:sz w:val="18"/>
          <w:szCs w:val="18"/>
          <w:lang w:val="en-US" w:eastAsia="fr-FR"/>
        </w:rPr>
        <w:t>, X. Jouven</w:t>
      </w:r>
      <w:r w:rsidRPr="00492126">
        <w:rPr>
          <w:rFonts w:ascii="Arial" w:hAnsi="Arial" w:cs="Arial"/>
          <w:sz w:val="18"/>
          <w:szCs w:val="18"/>
          <w:vertAlign w:val="superscript"/>
          <w:lang w:val="en-US" w:eastAsia="fr-FR"/>
        </w:rPr>
        <w:t>2</w:t>
      </w:r>
      <w:r>
        <w:rPr>
          <w:rFonts w:ascii="Arial" w:hAnsi="Arial" w:cs="Arial"/>
          <w:sz w:val="18"/>
          <w:szCs w:val="18"/>
          <w:lang w:val="en-US" w:eastAsia="fr-FR"/>
        </w:rPr>
        <w:t xml:space="preserve">, Y. Lambert - </w:t>
      </w:r>
      <w:r w:rsidRPr="00492126">
        <w:rPr>
          <w:rFonts w:ascii="Arial" w:hAnsi="Arial" w:cs="Arial"/>
          <w:sz w:val="18"/>
          <w:szCs w:val="18"/>
          <w:lang w:val="en-US" w:eastAsia="fr-FR"/>
        </w:rPr>
        <w:t>(1) Tours Regional University Hospital, Hospital Trousseau, Department of Emergency, Tours, France (2) Inserm U970 - Paris Cardiovascular Research Center (PARCC), Cardiovascular Epidemiology-Sudden Death, Paris, France (3) Paris Region Agency of Hospitalisation, Paris, France (4) Marie Lannelongue Hospital, Cardiology Department, Paris, France (5) European Hospital of Paris La Roseraie, Cardiology Department, Paris, France (6) APHP University Hospital Cochin, Medical Intesive Care Unit, Paris, France (7) Hospital of Versailles, Emergency Medical Service, Paris, France</w:t>
      </w:r>
    </w:p>
    <w:p w:rsidR="00A36A42" w:rsidRPr="00492126" w:rsidRDefault="00A36A42" w:rsidP="00492126">
      <w:pPr>
        <w:spacing w:after="0" w:line="240" w:lineRule="auto"/>
        <w:rPr>
          <w:rFonts w:ascii="Arial" w:hAnsi="Arial" w:cs="Arial"/>
          <w:sz w:val="18"/>
          <w:szCs w:val="18"/>
          <w:lang w:val="en-US" w:eastAsia="fr-FR"/>
        </w:rPr>
      </w:pPr>
    </w:p>
    <w:tbl>
      <w:tblPr>
        <w:tblW w:w="5000" w:type="pct"/>
        <w:tblCellMar>
          <w:top w:w="75" w:type="dxa"/>
          <w:left w:w="75" w:type="dxa"/>
          <w:bottom w:w="75" w:type="dxa"/>
          <w:right w:w="75" w:type="dxa"/>
        </w:tblCellMar>
        <w:tblLook w:val="00A0"/>
      </w:tblPr>
      <w:tblGrid>
        <w:gridCol w:w="9222"/>
      </w:tblGrid>
      <w:tr w:rsidR="00A36A42" w:rsidRPr="00492126" w:rsidTr="000F187B">
        <w:tc>
          <w:tcPr>
            <w:tcW w:w="0" w:type="auto"/>
            <w:vAlign w:val="center"/>
          </w:tcPr>
          <w:p w:rsidR="00A36A42" w:rsidRPr="00492126" w:rsidRDefault="00A36A42" w:rsidP="00492126">
            <w:pPr>
              <w:spacing w:after="0" w:line="240" w:lineRule="auto"/>
              <w:rPr>
                <w:rFonts w:ascii="Arial" w:hAnsi="Arial" w:cs="Arial"/>
                <w:sz w:val="20"/>
                <w:szCs w:val="20"/>
                <w:lang w:val="en-US" w:eastAsia="fr-FR"/>
              </w:rPr>
            </w:pPr>
            <w:r w:rsidRPr="00492126">
              <w:rPr>
                <w:rFonts w:ascii="Arial" w:hAnsi="Arial" w:cs="Arial"/>
                <w:b/>
                <w:sz w:val="20"/>
                <w:szCs w:val="20"/>
                <w:lang w:val="en-US" w:eastAsia="fr-FR"/>
              </w:rPr>
              <w:t xml:space="preserve">Rationale. </w:t>
            </w:r>
            <w:r w:rsidRPr="00492126">
              <w:rPr>
                <w:rFonts w:ascii="Arial" w:hAnsi="Arial" w:cs="Arial"/>
                <w:sz w:val="20"/>
                <w:szCs w:val="20"/>
                <w:lang w:val="en-US" w:eastAsia="fr-FR"/>
              </w:rPr>
              <w:br/>
              <w:t xml:space="preserve">Out-of-hospital cardiac arrest (OHCA) high risk patients identification in the early phase of STEMI is a challenge and has strong implications for their prognosis. Predictors of OHCA in this setting have been studied sparingly. </w:t>
            </w:r>
            <w:r w:rsidRPr="00492126">
              <w:rPr>
                <w:rFonts w:ascii="Arial" w:hAnsi="Arial" w:cs="Arial"/>
                <w:sz w:val="20"/>
                <w:szCs w:val="20"/>
                <w:lang w:val="en-US" w:eastAsia="fr-FR"/>
              </w:rPr>
              <w:br/>
            </w:r>
            <w:r w:rsidRPr="00492126">
              <w:rPr>
                <w:rFonts w:ascii="Arial" w:hAnsi="Arial" w:cs="Arial"/>
                <w:b/>
                <w:sz w:val="20"/>
                <w:szCs w:val="20"/>
                <w:lang w:val="en-US" w:eastAsia="fr-FR"/>
              </w:rPr>
              <w:t>Methods.</w:t>
            </w:r>
            <w:r w:rsidRPr="00492126">
              <w:rPr>
                <w:rFonts w:ascii="Arial" w:hAnsi="Arial" w:cs="Arial"/>
                <w:sz w:val="20"/>
                <w:szCs w:val="20"/>
                <w:lang w:val="en-US" w:eastAsia="fr-FR"/>
              </w:rPr>
              <w:t xml:space="preserve"> </w:t>
            </w:r>
            <w:r w:rsidRPr="00492126">
              <w:rPr>
                <w:rFonts w:ascii="Arial" w:hAnsi="Arial" w:cs="Arial"/>
                <w:sz w:val="20"/>
                <w:szCs w:val="20"/>
                <w:lang w:val="en-US" w:eastAsia="fr-FR"/>
              </w:rPr>
              <w:br/>
              <w:t xml:space="preserve">The e-MUST registry includes all out-of-hospital STEMI, attended by a mobile intensive care unit, in the great </w:t>
            </w:r>
            <w:smartTag w:uri="urn:schemas-microsoft-com:office:smarttags" w:element="country-region">
              <w:r w:rsidRPr="00492126">
                <w:rPr>
                  <w:rFonts w:ascii="Arial" w:hAnsi="Arial" w:cs="Arial"/>
                  <w:sz w:val="20"/>
                  <w:szCs w:val="20"/>
                  <w:lang w:val="en-US" w:eastAsia="fr-FR"/>
                </w:rPr>
                <w:t>Paris</w:t>
              </w:r>
            </w:smartTag>
            <w:r w:rsidRPr="00492126">
              <w:rPr>
                <w:rFonts w:ascii="Arial" w:hAnsi="Arial" w:cs="Arial"/>
                <w:sz w:val="20"/>
                <w:szCs w:val="20"/>
                <w:lang w:val="en-US" w:eastAsia="fr-FR"/>
              </w:rPr>
              <w:t xml:space="preserve"> area (</w:t>
            </w:r>
            <w:smartTag w:uri="urn:schemas-microsoft-com:office:smarttags" w:element="country-region">
              <w:r w:rsidRPr="00492126">
                <w:rPr>
                  <w:rFonts w:ascii="Arial" w:hAnsi="Arial" w:cs="Arial"/>
                  <w:sz w:val="20"/>
                  <w:szCs w:val="20"/>
                  <w:lang w:val="en-US" w:eastAsia="fr-FR"/>
                </w:rPr>
                <w:t>France</w:t>
              </w:r>
            </w:smartTag>
            <w:r w:rsidRPr="00492126">
              <w:rPr>
                <w:rFonts w:ascii="Arial" w:hAnsi="Arial" w:cs="Arial"/>
                <w:sz w:val="20"/>
                <w:szCs w:val="20"/>
                <w:lang w:val="en-US" w:eastAsia="fr-FR"/>
              </w:rPr>
              <w:t>). From January 2002 to December 2008, 11744 consecutive patients were included and clinical characteristics and therapeutic strategies were collected. Two thirds of the cohort was randomly selected to identify independent predictors of OHCA and to build a risk score using logistic regression (derivation sample). This score was validated in the remaining third (validation sample) where calibration and discrimination were evaluated using Hosmer-Lemeshow goodness-of-fit test and the area under the receiving operative curve respectively. </w:t>
            </w:r>
            <w:r w:rsidRPr="00492126">
              <w:rPr>
                <w:rFonts w:ascii="Arial" w:hAnsi="Arial" w:cs="Arial"/>
                <w:sz w:val="20"/>
                <w:szCs w:val="20"/>
                <w:lang w:val="en-US" w:eastAsia="fr-FR"/>
              </w:rPr>
              <w:br/>
            </w:r>
            <w:r w:rsidRPr="00492126">
              <w:rPr>
                <w:rFonts w:ascii="Arial" w:hAnsi="Arial" w:cs="Arial"/>
                <w:b/>
                <w:sz w:val="20"/>
                <w:szCs w:val="20"/>
                <w:lang w:val="en-US" w:eastAsia="fr-FR"/>
              </w:rPr>
              <w:t>Results.</w:t>
            </w:r>
            <w:r w:rsidRPr="00492126">
              <w:rPr>
                <w:rFonts w:ascii="Arial" w:hAnsi="Arial" w:cs="Arial"/>
                <w:sz w:val="20"/>
                <w:szCs w:val="20"/>
                <w:lang w:val="en-US" w:eastAsia="fr-FR"/>
              </w:rPr>
              <w:t xml:space="preserve"> </w:t>
            </w:r>
            <w:r w:rsidRPr="00492126">
              <w:rPr>
                <w:rFonts w:ascii="Arial" w:hAnsi="Arial" w:cs="Arial"/>
                <w:sz w:val="20"/>
                <w:szCs w:val="20"/>
                <w:lang w:val="en-US" w:eastAsia="fr-FR"/>
              </w:rPr>
              <w:br/>
              <w:t xml:space="preserve">The cohort included 11744 patients, with median age 60 yrs (range 19 - 105), 77.5% males and 751 OHCA. Independent predictors (table 1) were used to build the risk score. In the validation sample, discrimination was fairly good (AUC =0.70 [0.66-0.73]), and calibration adequate (p=0.22). </w:t>
            </w:r>
            <w:r w:rsidRPr="00492126">
              <w:rPr>
                <w:rFonts w:ascii="Arial" w:hAnsi="Arial" w:cs="Arial"/>
                <w:sz w:val="20"/>
                <w:szCs w:val="20"/>
                <w:lang w:val="en-US" w:eastAsia="fr-FR"/>
              </w:rPr>
              <w:br/>
            </w:r>
            <w:r w:rsidRPr="00492126">
              <w:rPr>
                <w:rFonts w:ascii="Arial" w:hAnsi="Arial" w:cs="Arial"/>
                <w:b/>
                <w:sz w:val="20"/>
                <w:szCs w:val="20"/>
                <w:lang w:val="en-US" w:eastAsia="fr-FR"/>
              </w:rPr>
              <w:t>Conclusion.</w:t>
            </w:r>
            <w:r w:rsidRPr="00492126">
              <w:rPr>
                <w:rFonts w:ascii="Arial" w:hAnsi="Arial" w:cs="Arial"/>
                <w:sz w:val="20"/>
                <w:szCs w:val="20"/>
                <w:lang w:val="en-US" w:eastAsia="fr-FR"/>
              </w:rPr>
              <w:t xml:space="preserve"> </w:t>
            </w:r>
            <w:r w:rsidRPr="00492126">
              <w:rPr>
                <w:rFonts w:ascii="Arial" w:hAnsi="Arial" w:cs="Arial"/>
                <w:sz w:val="20"/>
                <w:szCs w:val="20"/>
                <w:lang w:val="en-US" w:eastAsia="fr-FR"/>
              </w:rPr>
              <w:br/>
              <w:t xml:space="preserve">In the acute phase STEMI, younger age, heart failure, infarction in the anterior section and shorter delay between chest pain onset and fisrt medical contact are independent predictors of OHCA. These routinely collected variables may help identifying patients at increasing risk of OHCA. </w:t>
            </w:r>
          </w:p>
        </w:tc>
      </w:tr>
      <w:tr w:rsidR="00A36A42" w:rsidRPr="00492126" w:rsidTr="000F187B">
        <w:tc>
          <w:tcPr>
            <w:tcW w:w="0" w:type="auto"/>
            <w:vAlign w:val="center"/>
          </w:tcPr>
          <w:p w:rsidR="00A36A42" w:rsidRPr="00492126" w:rsidRDefault="00A36A42" w:rsidP="000F187B">
            <w:pPr>
              <w:spacing w:after="0" w:line="240" w:lineRule="auto"/>
              <w:jc w:val="center"/>
              <w:rPr>
                <w:rFonts w:ascii="Arial" w:hAnsi="Arial" w:cs="Arial"/>
                <w:sz w:val="20"/>
                <w:szCs w:val="20"/>
                <w:lang w:eastAsia="fr-FR"/>
              </w:rPr>
            </w:pPr>
            <w:r>
              <w:rPr>
                <w:rFonts w:ascii="Arial" w:hAnsi="Arial" w:cs="Arial"/>
                <w:b/>
                <w:bCs/>
                <w:sz w:val="20"/>
                <w:szCs w:val="20"/>
                <w:lang w:eastAsia="fr-FR"/>
              </w:rPr>
              <w:t>T</w:t>
            </w:r>
            <w:r w:rsidRPr="00492126">
              <w:rPr>
                <w:rFonts w:ascii="Arial" w:hAnsi="Arial" w:cs="Arial"/>
                <w:b/>
                <w:bCs/>
                <w:sz w:val="20"/>
                <w:szCs w:val="20"/>
                <w:lang w:eastAsia="fr-FR"/>
              </w:rPr>
              <w:t>able 1</w:t>
            </w:r>
            <w:r w:rsidRPr="00492126">
              <w:rPr>
                <w:rFonts w:ascii="Arial" w:hAnsi="Arial" w:cs="Arial"/>
                <w:sz w:val="20"/>
                <w:szCs w:val="20"/>
                <w:lang w:eastAsia="fr-FR"/>
              </w:rPr>
              <w:t xml:space="preserve"> </w:t>
            </w:r>
          </w:p>
        </w:tc>
      </w:tr>
      <w:tr w:rsidR="00A36A42" w:rsidRPr="00492126" w:rsidTr="000F187B">
        <w:tc>
          <w:tcPr>
            <w:tcW w:w="0" w:type="auto"/>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965"/>
              <w:gridCol w:w="1552"/>
              <w:gridCol w:w="940"/>
              <w:gridCol w:w="1010"/>
              <w:gridCol w:w="865"/>
              <w:gridCol w:w="1333"/>
              <w:gridCol w:w="1397"/>
            </w:tblGrid>
            <w:tr w:rsidR="00A36A42" w:rsidRPr="00492126" w:rsidTr="005430C3">
              <w:trPr>
                <w:jc w:val="center"/>
              </w:trPr>
              <w:tc>
                <w:tcPr>
                  <w:tcW w:w="5670" w:type="dxa"/>
                  <w:gridSpan w:val="2"/>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Variables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n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OHCA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OR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95% CI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Score</w:t>
                  </w:r>
                </w:p>
              </w:tc>
            </w:tr>
            <w:tr w:rsidR="00A36A42" w:rsidRPr="00492126" w:rsidTr="005430C3">
              <w:trPr>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Age </w:t>
                  </w: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&gt; 60 yrs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1829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206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129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0</w:t>
                  </w:r>
                </w:p>
              </w:tc>
            </w:tr>
            <w:tr w:rsidR="00A36A42" w:rsidRPr="00492126" w:rsidTr="005430C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50-60 yrs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2015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152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1.4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[1.3 - 2]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3</w:t>
                  </w:r>
                </w:p>
              </w:tc>
            </w:tr>
            <w:tr w:rsidR="00A36A42" w:rsidRPr="00492126" w:rsidTr="005430C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&lt; 50 yrs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3690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154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1.6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[1.1 - 1.8]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5</w:t>
                  </w:r>
                </w:p>
              </w:tc>
            </w:tr>
            <w:tr w:rsidR="00A36A42" w:rsidRPr="00492126" w:rsidTr="005430C3">
              <w:trPr>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Infarct location </w:t>
                  </w: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Inferior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3757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86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129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0</w:t>
                  </w:r>
                </w:p>
              </w:tc>
            </w:tr>
            <w:tr w:rsidR="00A36A42" w:rsidRPr="00492126" w:rsidTr="005430C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Anterior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3394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279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1.7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[1.4 - 2.1]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5</w:t>
                  </w:r>
                </w:p>
              </w:tc>
            </w:tr>
            <w:tr w:rsidR="00A36A42" w:rsidRPr="00492126" w:rsidTr="005430C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Unknown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383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30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3.5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[2.5 - 4.9]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12</w:t>
                  </w:r>
                </w:p>
              </w:tc>
            </w:tr>
            <w:tr w:rsidR="00A36A42" w:rsidRPr="00492126" w:rsidTr="005430C3">
              <w:trPr>
                <w:jc w:val="center"/>
              </w:trPr>
              <w:tc>
                <w:tcPr>
                  <w:tcW w:w="334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Heart failure </w:t>
                  </w: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387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84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4.7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[3.5 - 6.2]</w:t>
                  </w:r>
                </w:p>
              </w:tc>
              <w:tc>
                <w:tcPr>
                  <w:tcW w:w="129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15</w:t>
                  </w:r>
                </w:p>
              </w:tc>
            </w:tr>
            <w:tr w:rsidR="00A36A42" w:rsidRPr="00492126" w:rsidTr="005430C3">
              <w:trPr>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val="en-US" w:eastAsia="fr-FR"/>
                    </w:rPr>
                  </w:pPr>
                  <w:r w:rsidRPr="00492126">
                    <w:rPr>
                      <w:rFonts w:ascii="Arial" w:hAnsi="Arial" w:cs="Arial"/>
                      <w:sz w:val="20"/>
                      <w:szCs w:val="20"/>
                      <w:lang w:val="en-US" w:eastAsia="fr-FR"/>
                    </w:rPr>
                    <w:t xml:space="preserve">Delay from pain onset to first medical contact </w:t>
                  </w: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&gt; 3 h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1810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66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129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0</w:t>
                  </w:r>
                </w:p>
              </w:tc>
            </w:tr>
            <w:tr w:rsidR="00A36A42" w:rsidRPr="00492126" w:rsidTr="005430C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 h – 3 h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2050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98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1,4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[1 - 1.9]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3</w:t>
                  </w:r>
                </w:p>
              </w:tc>
            </w:tr>
            <w:tr w:rsidR="00A36A42" w:rsidRPr="00492126" w:rsidTr="005430C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½ h – 1 h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1468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107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2.3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[1,6 - 3,1]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8</w:t>
                  </w:r>
                </w:p>
              </w:tc>
            </w:tr>
            <w:tr w:rsidR="00A36A42" w:rsidRPr="00492126" w:rsidTr="005430C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after="0" w:line="240" w:lineRule="auto"/>
                    <w:rPr>
                      <w:rFonts w:ascii="Arial" w:hAnsi="Arial" w:cs="Arial"/>
                      <w:sz w:val="20"/>
                      <w:szCs w:val="20"/>
                      <w:lang w:eastAsia="fr-FR"/>
                    </w:rPr>
                  </w:pPr>
                </w:p>
              </w:tc>
              <w:tc>
                <w:tcPr>
                  <w:tcW w:w="2325"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&lt; ½ h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2206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238 </w:t>
                  </w:r>
                </w:p>
              </w:tc>
              <w:tc>
                <w:tcPr>
                  <w:tcW w:w="147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3.3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 xml:space="preserve">[1,4 - 4,4] </w:t>
                  </w:r>
                </w:p>
              </w:tc>
              <w:tc>
                <w:tcPr>
                  <w:tcW w:w="2340" w:type="dxa"/>
                  <w:tcBorders>
                    <w:top w:val="single" w:sz="4" w:space="0" w:color="auto"/>
                    <w:left w:val="single" w:sz="4" w:space="0" w:color="auto"/>
                    <w:bottom w:val="single" w:sz="4" w:space="0" w:color="auto"/>
                    <w:right w:val="single" w:sz="4" w:space="0" w:color="auto"/>
                  </w:tcBorders>
                  <w:vAlign w:val="center"/>
                </w:tcPr>
                <w:p w:rsidR="00A36A42" w:rsidRPr="00492126" w:rsidRDefault="00A36A42" w:rsidP="000F187B">
                  <w:pPr>
                    <w:spacing w:before="100" w:beforeAutospacing="1" w:after="100" w:afterAutospacing="1" w:line="240" w:lineRule="auto"/>
                    <w:rPr>
                      <w:rFonts w:ascii="Arial" w:hAnsi="Arial" w:cs="Arial"/>
                      <w:sz w:val="20"/>
                      <w:szCs w:val="20"/>
                      <w:lang w:eastAsia="fr-FR"/>
                    </w:rPr>
                  </w:pPr>
                  <w:r w:rsidRPr="00492126">
                    <w:rPr>
                      <w:rFonts w:ascii="Arial" w:hAnsi="Arial" w:cs="Arial"/>
                      <w:sz w:val="20"/>
                      <w:szCs w:val="20"/>
                      <w:lang w:eastAsia="fr-FR"/>
                    </w:rPr>
                    <w:t>12</w:t>
                  </w:r>
                </w:p>
              </w:tc>
            </w:tr>
          </w:tbl>
          <w:p w:rsidR="00A36A42" w:rsidRPr="00492126" w:rsidRDefault="00A36A42" w:rsidP="000F187B">
            <w:pPr>
              <w:spacing w:after="0" w:line="240" w:lineRule="auto"/>
              <w:jc w:val="center"/>
              <w:rPr>
                <w:rFonts w:ascii="Arial" w:hAnsi="Arial" w:cs="Arial"/>
                <w:sz w:val="20"/>
                <w:szCs w:val="20"/>
                <w:lang w:eastAsia="fr-FR"/>
              </w:rPr>
            </w:pPr>
          </w:p>
        </w:tc>
      </w:tr>
    </w:tbl>
    <w:p w:rsidR="00A36A42" w:rsidRPr="00492126" w:rsidRDefault="00A36A42">
      <w:pPr>
        <w:rPr>
          <w:rFonts w:ascii="Arial" w:hAnsi="Arial" w:cs="Arial"/>
          <w:sz w:val="18"/>
          <w:szCs w:val="18"/>
          <w:lang w:val="en-US" w:eastAsia="fr-FR"/>
        </w:rPr>
      </w:pPr>
    </w:p>
    <w:sectPr w:rsidR="00A36A42" w:rsidRPr="00492126" w:rsidSect="00BE6A78">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A42" w:rsidRDefault="00A36A42">
      <w:r>
        <w:separator/>
      </w:r>
    </w:p>
  </w:endnote>
  <w:endnote w:type="continuationSeparator" w:id="0">
    <w:p w:rsidR="00A36A42" w:rsidRDefault="00A36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A42" w:rsidRDefault="00A36A42">
      <w:r>
        <w:separator/>
      </w:r>
    </w:p>
  </w:footnote>
  <w:footnote w:type="continuationSeparator" w:id="0">
    <w:p w:rsidR="00A36A42" w:rsidRDefault="00A3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42" w:rsidRPr="00492126" w:rsidRDefault="00A36A42">
    <w:pPr>
      <w:pStyle w:val="Header"/>
      <w:rPr>
        <w:rFonts w:ascii="Arial" w:hAnsi="Arial" w:cs="Arial"/>
        <w:b/>
        <w:sz w:val="20"/>
        <w:szCs w:val="20"/>
      </w:rPr>
    </w:pPr>
    <w:r w:rsidRPr="00492126">
      <w:rPr>
        <w:rFonts w:ascii="Arial" w:hAnsi="Arial" w:cs="Arial"/>
        <w:b/>
        <w:sz w:val="20"/>
        <w:szCs w:val="20"/>
      </w:rPr>
      <w:t>Abstract N° 88568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23C"/>
    <w:rsid w:val="000F187B"/>
    <w:rsid w:val="001D223C"/>
    <w:rsid w:val="00411E99"/>
    <w:rsid w:val="00492126"/>
    <w:rsid w:val="005430C3"/>
    <w:rsid w:val="008F0D2A"/>
    <w:rsid w:val="009E3200"/>
    <w:rsid w:val="00A36A42"/>
    <w:rsid w:val="00B14922"/>
    <w:rsid w:val="00BE6A78"/>
    <w:rsid w:val="00DD6AE2"/>
    <w:rsid w:val="00E56BC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7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223C"/>
    <w:pPr>
      <w:spacing w:before="100" w:beforeAutospacing="1" w:after="100" w:afterAutospacing="1" w:line="240" w:lineRule="auto"/>
    </w:pPr>
    <w:rPr>
      <w:rFonts w:ascii="Verdana" w:eastAsia="Times New Roman" w:hAnsi="Verdana"/>
      <w:color w:val="414953"/>
      <w:sz w:val="18"/>
      <w:szCs w:val="18"/>
      <w:lang w:eastAsia="fr-FR"/>
    </w:rPr>
  </w:style>
  <w:style w:type="character" w:styleId="Strong">
    <w:name w:val="Strong"/>
    <w:basedOn w:val="DefaultParagraphFont"/>
    <w:uiPriority w:val="99"/>
    <w:qFormat/>
    <w:rsid w:val="001D223C"/>
    <w:rPr>
      <w:rFonts w:cs="Times New Roman"/>
      <w:b/>
      <w:bCs/>
    </w:rPr>
  </w:style>
  <w:style w:type="paragraph" w:styleId="Header">
    <w:name w:val="header"/>
    <w:basedOn w:val="Normal"/>
    <w:link w:val="HeaderChar"/>
    <w:uiPriority w:val="99"/>
    <w:rsid w:val="00492126"/>
    <w:pPr>
      <w:tabs>
        <w:tab w:val="center" w:pos="4536"/>
        <w:tab w:val="right" w:pos="9072"/>
      </w:tabs>
    </w:pPr>
  </w:style>
  <w:style w:type="character" w:customStyle="1" w:styleId="HeaderChar">
    <w:name w:val="Header Char"/>
    <w:basedOn w:val="DefaultParagraphFont"/>
    <w:link w:val="Header"/>
    <w:uiPriority w:val="99"/>
    <w:semiHidden/>
    <w:rsid w:val="00F54819"/>
    <w:rPr>
      <w:lang w:eastAsia="en-US"/>
    </w:rPr>
  </w:style>
  <w:style w:type="paragraph" w:styleId="Footer">
    <w:name w:val="footer"/>
    <w:basedOn w:val="Normal"/>
    <w:link w:val="FooterChar"/>
    <w:uiPriority w:val="99"/>
    <w:rsid w:val="00492126"/>
    <w:pPr>
      <w:tabs>
        <w:tab w:val="center" w:pos="4536"/>
        <w:tab w:val="right" w:pos="9072"/>
      </w:tabs>
    </w:pPr>
  </w:style>
  <w:style w:type="character" w:customStyle="1" w:styleId="FooterChar">
    <w:name w:val="Footer Char"/>
    <w:basedOn w:val="DefaultParagraphFont"/>
    <w:link w:val="Footer"/>
    <w:uiPriority w:val="99"/>
    <w:semiHidden/>
    <w:rsid w:val="00F54819"/>
    <w:rPr>
      <w:lang w:eastAsia="en-US"/>
    </w:rPr>
  </w:style>
</w:styles>
</file>

<file path=word/webSettings.xml><?xml version="1.0" encoding="utf-8"?>
<w:webSettings xmlns:r="http://schemas.openxmlformats.org/officeDocument/2006/relationships" xmlns:w="http://schemas.openxmlformats.org/wordprocessingml/2006/main">
  <w:divs>
    <w:div w:id="507603329">
      <w:marLeft w:val="0"/>
      <w:marRight w:val="0"/>
      <w:marTop w:val="0"/>
      <w:marBottom w:val="0"/>
      <w:divBdr>
        <w:top w:val="none" w:sz="0" w:space="0" w:color="auto"/>
        <w:left w:val="none" w:sz="0" w:space="0" w:color="auto"/>
        <w:bottom w:val="none" w:sz="0" w:space="0" w:color="auto"/>
        <w:right w:val="none" w:sz="0" w:space="0" w:color="auto"/>
      </w:divBdr>
      <w:divsChild>
        <w:div w:id="50760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442</Words>
  <Characters>2431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dc:description/>
  <cp:lastModifiedBy>info</cp:lastModifiedBy>
  <cp:revision>3</cp:revision>
  <dcterms:created xsi:type="dcterms:W3CDTF">2009-03-11T21:33:00Z</dcterms:created>
  <dcterms:modified xsi:type="dcterms:W3CDTF">2011-05-25T07:20:00Z</dcterms:modified>
</cp:coreProperties>
</file>